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A1" w:rsidRDefault="00CC59A1">
      <w:pPr>
        <w:pStyle w:val="ConsPlusTitlePage"/>
      </w:pPr>
      <w:bookmarkStart w:id="0" w:name="_GoBack"/>
      <w:bookmarkEnd w:id="0"/>
    </w:p>
    <w:p w:rsidR="00CC59A1" w:rsidRDefault="00CC59A1">
      <w:pPr>
        <w:pStyle w:val="ConsPlusNormal"/>
        <w:jc w:val="both"/>
        <w:outlineLvl w:val="0"/>
      </w:pPr>
    </w:p>
    <w:p w:rsidR="00CC59A1" w:rsidRDefault="00CC59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C59A1" w:rsidRDefault="00CC59A1">
      <w:pPr>
        <w:pStyle w:val="ConsPlusTitle"/>
        <w:jc w:val="center"/>
      </w:pPr>
    </w:p>
    <w:p w:rsidR="00CC59A1" w:rsidRDefault="00CC59A1">
      <w:pPr>
        <w:pStyle w:val="ConsPlusTitle"/>
        <w:jc w:val="center"/>
      </w:pPr>
      <w:r>
        <w:t>РАСПОРЯЖЕНИЕ</w:t>
      </w:r>
    </w:p>
    <w:p w:rsidR="00CC59A1" w:rsidRDefault="00CC59A1">
      <w:pPr>
        <w:pStyle w:val="ConsPlusTitle"/>
        <w:jc w:val="center"/>
      </w:pPr>
      <w:r>
        <w:t>от 2 сентября 2021 г. N 2424-р</w:t>
      </w:r>
    </w:p>
    <w:p w:rsidR="00CC59A1" w:rsidRDefault="00CC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A1" w:rsidRDefault="00CC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A1" w:rsidRDefault="00CC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9A1" w:rsidRDefault="00CC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9A1" w:rsidRDefault="00CC59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13.07.2022 N 1905-р)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A1" w:rsidRDefault="00CC59A1">
            <w:pPr>
              <w:pStyle w:val="ConsPlusNormal"/>
            </w:pPr>
          </w:p>
        </w:tc>
      </w:tr>
    </w:tbl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3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2. Реализация Национального </w:t>
      </w:r>
      <w:hyperlink w:anchor="P43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3">
        <w:r>
          <w:rPr>
            <w:color w:val="0000FF"/>
          </w:rPr>
          <w:t>плана</w:t>
        </w:r>
      </w:hyperlink>
      <w:r>
        <w:t>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обеспечить реализацию Национального </w:t>
      </w:r>
      <w:hyperlink w:anchor="P43">
        <w:r>
          <w:rPr>
            <w:color w:val="0000FF"/>
          </w:rPr>
          <w:t>плана</w:t>
        </w:r>
      </w:hyperlink>
      <w:r>
        <w:t>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3">
        <w:r>
          <w:rPr>
            <w:color w:val="0000FF"/>
          </w:rPr>
          <w:t>плана</w:t>
        </w:r>
      </w:hyperlink>
      <w:r>
        <w:t>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4. ФАС России: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3">
        <w:r>
          <w:rPr>
            <w:color w:val="0000FF"/>
          </w:rPr>
          <w:t>плана</w:t>
        </w:r>
      </w:hyperlink>
      <w:r>
        <w:t>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3">
        <w:r>
          <w:rPr>
            <w:color w:val="0000FF"/>
          </w:rPr>
          <w:t>плана</w:t>
        </w:r>
      </w:hyperlink>
      <w:r>
        <w:t>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3">
        <w:r>
          <w:rPr>
            <w:color w:val="0000FF"/>
          </w:rPr>
          <w:t>плана</w:t>
        </w:r>
      </w:hyperlink>
      <w:r>
        <w:t>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в срок до 31 декабря 2024 г. обеспечить реализацию мероприятий, направленных на увеличение количества нестационарных и </w:t>
      </w:r>
      <w:proofErr w:type="gramStart"/>
      <w:r>
        <w:t>мобильных торговых объектов</w:t>
      </w:r>
      <w:proofErr w:type="gramEnd"/>
      <w:r>
        <w:t xml:space="preserve"> и торговых мест под них;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 срок до 31 декабря 2025 г.: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с участием органов местного самоуправления обеспечить организацию инвентаризации </w:t>
      </w:r>
      <w:r>
        <w:lastRenderedPageBreak/>
        <w:t>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6. Рекомендовать органам местного самоуправления: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в срок до 31 декабря 2024 г. обеспечить реализацию мероприятий, направленных на увеличение количества нестационарных и </w:t>
      </w:r>
      <w:proofErr w:type="gramStart"/>
      <w:r>
        <w:t>мобильных торговых объектов</w:t>
      </w:r>
      <w:proofErr w:type="gramEnd"/>
      <w:r>
        <w:t xml:space="preserve"> и торговых мест под них;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jc w:val="right"/>
      </w:pPr>
      <w:r>
        <w:t>Председатель Правительства</w:t>
      </w:r>
    </w:p>
    <w:p w:rsidR="00CC59A1" w:rsidRDefault="00CC59A1">
      <w:pPr>
        <w:pStyle w:val="ConsPlusNormal"/>
        <w:jc w:val="right"/>
      </w:pPr>
      <w:r>
        <w:t>Российской Федерации</w:t>
      </w:r>
    </w:p>
    <w:p w:rsidR="00CC59A1" w:rsidRDefault="00CC59A1">
      <w:pPr>
        <w:pStyle w:val="ConsPlusNormal"/>
        <w:jc w:val="right"/>
      </w:pPr>
      <w:r>
        <w:t>М.МИШУСТИН</w:t>
      </w: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jc w:val="right"/>
        <w:outlineLvl w:val="0"/>
      </w:pPr>
      <w:r>
        <w:t>Утвержден</w:t>
      </w:r>
    </w:p>
    <w:p w:rsidR="00CC59A1" w:rsidRDefault="00CC59A1">
      <w:pPr>
        <w:pStyle w:val="ConsPlusNormal"/>
        <w:jc w:val="right"/>
      </w:pPr>
      <w:r>
        <w:t>распоряжением Правительства</w:t>
      </w:r>
    </w:p>
    <w:p w:rsidR="00CC59A1" w:rsidRDefault="00CC59A1">
      <w:pPr>
        <w:pStyle w:val="ConsPlusNormal"/>
        <w:jc w:val="right"/>
      </w:pPr>
      <w:r>
        <w:t>Российской Федерации</w:t>
      </w:r>
    </w:p>
    <w:p w:rsidR="00CC59A1" w:rsidRDefault="00CC59A1">
      <w:pPr>
        <w:pStyle w:val="ConsPlusNormal"/>
        <w:jc w:val="right"/>
      </w:pPr>
      <w:r>
        <w:t>от 2 сентября 2021 г. N 2424-р</w:t>
      </w: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Title"/>
        <w:jc w:val="center"/>
      </w:pPr>
      <w:bookmarkStart w:id="1" w:name="P43"/>
      <w:bookmarkEnd w:id="1"/>
      <w:r>
        <w:t>НАЦИОНАЛЬНЫЙ ПЛАН</w:t>
      </w:r>
    </w:p>
    <w:p w:rsidR="00CC59A1" w:rsidRDefault="00CC59A1">
      <w:pPr>
        <w:pStyle w:val="ConsPlusTitle"/>
        <w:jc w:val="center"/>
      </w:pPr>
      <w:r>
        <w:t>("ДОРОЖНАЯ КАРТА") РАЗВИТИЯ КОНКУРЕНЦИИ В РОССИЙСКОЙ</w:t>
      </w:r>
    </w:p>
    <w:p w:rsidR="00CC59A1" w:rsidRDefault="00CC59A1">
      <w:pPr>
        <w:pStyle w:val="ConsPlusTitle"/>
        <w:jc w:val="center"/>
      </w:pPr>
      <w:r>
        <w:t>ФЕДЕРАЦИИ НА 2021 - 2025 ГОДЫ</w:t>
      </w:r>
    </w:p>
    <w:p w:rsidR="00CC59A1" w:rsidRDefault="00CC59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A1" w:rsidRDefault="00CC59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A1" w:rsidRDefault="00CC59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9A1" w:rsidRDefault="00CC59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9A1" w:rsidRDefault="00CC59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13.07.2022 N 1905-р)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9A1" w:rsidRDefault="00CC59A1">
            <w:pPr>
              <w:pStyle w:val="ConsPlusNormal"/>
            </w:pPr>
          </w:p>
        </w:tc>
      </w:tr>
    </w:tbl>
    <w:p w:rsidR="00CC59A1" w:rsidRDefault="00CC59A1">
      <w:pPr>
        <w:pStyle w:val="ConsPlusNormal"/>
        <w:jc w:val="both"/>
      </w:pPr>
    </w:p>
    <w:p w:rsidR="00CC59A1" w:rsidRDefault="00CC59A1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CC59A1" w:rsidRDefault="00CC59A1">
      <w:pPr>
        <w:pStyle w:val="ConsPlusTitle"/>
        <w:jc w:val="center"/>
      </w:pPr>
      <w:r>
        <w:t>по развитию конкуренции</w:t>
      </w: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ind w:firstLine="540"/>
        <w:jc w:val="both"/>
      </w:pP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сохранение населения, здоровье и благополучие людей;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возможности для самореализации и развития талантов;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комфортная и безопасная среда для жизни;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достойный, эффективный труд и успешное предпринимательство;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цифровая трансформация.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Конкурентная политика представляет собой комплекс последовательных мер, </w:t>
      </w:r>
      <w:r>
        <w:lastRenderedPageBreak/>
        <w:t>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21 декабря 2017 г. принят </w:t>
      </w:r>
      <w:hyperlink r:id="rId7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8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9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политики в регионах Российской Федерации закреплены в </w:t>
      </w:r>
      <w:hyperlink r:id="rId10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Государственная </w:t>
      </w:r>
      <w:hyperlink r:id="rId1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CC59A1" w:rsidRDefault="00CC59A1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Программа</w:t>
        </w:r>
      </w:hyperlink>
      <w:r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CC59A1" w:rsidRDefault="00CC59A1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план</w:t>
        </w:r>
      </w:hyperlink>
      <w:r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14">
        <w:r>
          <w:rPr>
            <w:color w:val="0000FF"/>
          </w:rPr>
          <w:t>Указом</w:t>
        </w:r>
      </w:hyperlink>
      <w:r>
        <w:t xml:space="preserve"> N 618, </w:t>
      </w:r>
      <w:hyperlink r:id="rId15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Данный ключевой показатель отражает количественное изменение состояния конкуренции на </w:t>
      </w:r>
      <w:r>
        <w:lastRenderedPageBreak/>
        <w:t>товарных рынках и при этом создает основу для перехода к решению новых задач, связанных уже с качественными изменениями.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принят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17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Однако не все меры, предусмотренные программами, оказались достаточными для </w:t>
      </w:r>
      <w:r>
        <w:lastRenderedPageBreak/>
        <w:t>эффективного развития конкуренции.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Еще одним вызовом как для российской экономики, так и для мировой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высокая доля государственного сектора в экономике;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сохраняющиеся ограничения доступа к инфраструктуре.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CC59A1" w:rsidRDefault="00CC59A1">
      <w:pPr>
        <w:pStyle w:val="ConsPlusTitle"/>
        <w:jc w:val="center"/>
      </w:pPr>
      <w:r>
        <w:t>развития конкуренции</w:t>
      </w: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развитие добросовестной конкуренции на товарных рынках;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CC59A1" w:rsidRDefault="00CC59A1">
      <w:pPr>
        <w:pStyle w:val="ConsPlusNormal"/>
        <w:spacing w:before="200"/>
        <w:ind w:firstLine="540"/>
        <w:jc w:val="both"/>
      </w:pPr>
      <w:proofErr w:type="spellStart"/>
      <w:r>
        <w:t>дерегулирование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lastRenderedPageBreak/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развитие малого и среднего предпринимательства;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обеспечение недискриминационного доступа к природным ресурсам;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</w:t>
      </w:r>
      <w:proofErr w:type="spellStart"/>
      <w:r>
        <w:t>деривативов</w:t>
      </w:r>
      <w:proofErr w:type="spellEnd"/>
      <w:r>
        <w:t>, создание условий для реализации биржевых товаров на экспорт на российских биржах за рубли;</w:t>
      </w:r>
    </w:p>
    <w:p w:rsidR="00CC59A1" w:rsidRDefault="00CC59A1">
      <w:pPr>
        <w:pStyle w:val="ConsPlusNormal"/>
        <w:spacing w:before="200"/>
        <w:ind w:firstLine="540"/>
        <w:jc w:val="both"/>
      </w:pPr>
      <w:proofErr w:type="spellStart"/>
      <w:r>
        <w:t>цифровизация</w:t>
      </w:r>
      <w:proofErr w:type="spellEnd"/>
      <w:r>
        <w:t xml:space="preserve"> антимонопольного и тарифного регулирования;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CC59A1" w:rsidRDefault="00CC59A1">
      <w:pPr>
        <w:pStyle w:val="ConsPlusNormal"/>
        <w:spacing w:before="20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CC59A1" w:rsidRDefault="00CC59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7"/>
        <w:gridCol w:w="1276"/>
        <w:gridCol w:w="1417"/>
        <w:gridCol w:w="2356"/>
      </w:tblGrid>
      <w:tr w:rsidR="00CC59A1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59A1" w:rsidRDefault="00CC59A1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59A1" w:rsidRDefault="00CC59A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C59A1" w:rsidRDefault="00CC59A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46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6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</w:t>
            </w:r>
            <w:r>
              <w:lastRenderedPageBreak/>
              <w:t xml:space="preserve">деятельности, указанных в </w:t>
            </w:r>
            <w:hyperlink w:anchor="P146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18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19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6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ind w:firstLine="540"/>
        <w:jc w:val="both"/>
      </w:pPr>
      <w:r>
        <w:t>--------------------------------</w:t>
      </w:r>
    </w:p>
    <w:p w:rsidR="00CC59A1" w:rsidRDefault="00CC59A1">
      <w:pPr>
        <w:pStyle w:val="ConsPlusNormal"/>
        <w:spacing w:before="200"/>
        <w:ind w:firstLine="540"/>
        <w:jc w:val="both"/>
      </w:pPr>
      <w:bookmarkStart w:id="2" w:name="P144"/>
      <w:bookmarkEnd w:id="2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ind w:firstLine="540"/>
        <w:jc w:val="both"/>
      </w:pPr>
      <w:bookmarkStart w:id="3" w:name="P146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CC59A1" w:rsidRDefault="00CC59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211"/>
      </w:tblGrid>
      <w:tr w:rsidR="00CC59A1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59A1" w:rsidRDefault="00CC59A1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Минсельхоз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Минсельхоз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Минсельхоз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</w:t>
            </w:r>
            <w:r>
              <w:lastRenderedPageBreak/>
              <w:t>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lastRenderedPageBreak/>
              <w:t>Минцифры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CC59A1" w:rsidRDefault="00CC59A1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CC59A1" w:rsidRDefault="00CC59A1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Минобороны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ФСБ России,</w:t>
            </w:r>
          </w:p>
          <w:p w:rsidR="00CC59A1" w:rsidRDefault="00CC59A1">
            <w:pPr>
              <w:pStyle w:val="ConsPlusNormal"/>
            </w:pPr>
            <w:r>
              <w:t>ФСТЭК России,</w:t>
            </w:r>
          </w:p>
          <w:p w:rsidR="00CC59A1" w:rsidRDefault="00CC59A1">
            <w:pPr>
              <w:pStyle w:val="ConsPlusNormal"/>
            </w:pPr>
            <w:r>
              <w:t>Минфин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Минприроды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Минфин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Минфин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CC59A1" w:rsidRDefault="00CC59A1">
            <w:pPr>
              <w:pStyle w:val="ConsPlusNormal"/>
            </w:pPr>
            <w:r>
              <w:t>Минприроды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</w:t>
            </w:r>
            <w:r>
              <w:lastRenderedPageBreak/>
              <w:t>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CC59A1" w:rsidRDefault="00CC59A1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CC59A1" w:rsidRDefault="00CC59A1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Минтранс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Минтранс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CC59A1" w:rsidRDefault="00CC59A1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CC59A1" w:rsidRDefault="00CC59A1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Минтранс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Обеспечено включение в примерные основные образовательные </w:t>
            </w:r>
            <w:r>
              <w:lastRenderedPageBreak/>
              <w:t>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lastRenderedPageBreak/>
              <w:t>Минпросвещения</w:t>
            </w:r>
            <w:proofErr w:type="spellEnd"/>
            <w:r>
              <w:t xml:space="preserve"> </w:t>
            </w:r>
            <w:r>
              <w:lastRenderedPageBreak/>
              <w:t>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CC59A1" w:rsidRDefault="00CC59A1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CC59A1" w:rsidRDefault="00CC59A1">
            <w:pPr>
              <w:pStyle w:val="ConsPlusNormal"/>
            </w:pPr>
            <w:r>
              <w:t>1 процента на рынках общего образования;</w:t>
            </w:r>
          </w:p>
          <w:p w:rsidR="00CC59A1" w:rsidRDefault="00CC59A1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На рынках лекарственных средств:</w:t>
            </w:r>
          </w:p>
          <w:p w:rsidR="00CC59A1" w:rsidRDefault="00CC59A1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CC59A1" w:rsidRDefault="00CC59A1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CC59A1" w:rsidRDefault="00CC59A1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CC59A1" w:rsidRDefault="00CC59A1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CC59A1" w:rsidRDefault="00CC59A1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Минздрав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CC59A1" w:rsidRDefault="00CC59A1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CC59A1" w:rsidRDefault="00CC59A1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Минздрав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CC59A1" w:rsidRDefault="00CC59A1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CC59A1" w:rsidRDefault="00CC59A1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Минздрав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В субъектах Российской Федерации 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CC59A1" w:rsidRDefault="00CC59A1">
            <w:pPr>
              <w:pStyle w:val="ConsPlusNormal"/>
            </w:pPr>
            <w:r>
              <w:t>в отношении 20 процентов общего количества существующих кладбищ - до 31 декабря 2023 г.;</w:t>
            </w:r>
          </w:p>
          <w:p w:rsidR="00CC59A1" w:rsidRDefault="00CC59A1">
            <w:pPr>
              <w:pStyle w:val="ConsPlusNormal"/>
            </w:pPr>
            <w:r>
              <w:t>в отношении 50 процентов общего количества существующих кладбищ - до 31 декабря 2024 г.;</w:t>
            </w:r>
          </w:p>
          <w:p w:rsidR="00CC59A1" w:rsidRDefault="00CC59A1">
            <w:pPr>
              <w:pStyle w:val="ConsPlusNormal"/>
            </w:pPr>
            <w:r>
              <w:t>в отношении всех существующих кладбищ - до 31 декабря 2025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В субъектах Российской Федерации до 1 сентября 2023 г.:</w:t>
            </w:r>
          </w:p>
          <w:p w:rsidR="00CC59A1" w:rsidRDefault="00CC59A1">
            <w:pPr>
              <w:pStyle w:val="ConsPlusNormal"/>
            </w:pPr>
            <w: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похорон;</w:t>
            </w:r>
          </w:p>
          <w:p w:rsidR="00CC59A1" w:rsidRDefault="00CC59A1">
            <w:pPr>
              <w:pStyle w:val="ConsPlusNormal"/>
            </w:pPr>
            <w: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Минстрой России, </w:t>
            </w: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Обеспечено оказание ритуальных услуг по принципу "одного окна"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CC59A1" w:rsidRDefault="00CC59A1">
            <w:pPr>
              <w:pStyle w:val="ConsPlusNormal"/>
            </w:pPr>
            <w:r>
              <w:lastRenderedPageBreak/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11. Энергетика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ФНС России,</w:t>
            </w:r>
          </w:p>
          <w:p w:rsidR="00CC59A1" w:rsidRDefault="00CC59A1">
            <w:pPr>
              <w:pStyle w:val="ConsPlusNormal"/>
            </w:pPr>
            <w:r>
              <w:t>Минэнерго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20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Минэнерго России,</w:t>
            </w:r>
          </w:p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Минэкономразвития России,</w:t>
            </w:r>
          </w:p>
          <w:p w:rsidR="00CC59A1" w:rsidRDefault="00CC59A1">
            <w:pPr>
              <w:pStyle w:val="ConsPlusNormal"/>
            </w:pPr>
            <w:r>
              <w:t>Минэнерго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Минэкономразвития России,</w:t>
            </w:r>
          </w:p>
          <w:p w:rsidR="00CC59A1" w:rsidRDefault="00CC59A1">
            <w:pPr>
              <w:pStyle w:val="ConsPlusNormal"/>
            </w:pPr>
            <w:r>
              <w:t>Минэнерго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ФНС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  <w:p w:rsidR="00CC59A1" w:rsidRDefault="00CC59A1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ФНС России,</w:t>
            </w:r>
          </w:p>
          <w:p w:rsidR="00CC59A1" w:rsidRDefault="00CC59A1">
            <w:pPr>
              <w:pStyle w:val="ConsPlusNormal"/>
            </w:pPr>
            <w:r>
              <w:t>Минэнерго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CC59A1" w:rsidRDefault="00CC59A1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Минприроды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Минприроды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ФНС России,</w:t>
            </w:r>
          </w:p>
          <w:p w:rsidR="00CC59A1" w:rsidRDefault="00CC59A1">
            <w:pPr>
              <w:pStyle w:val="ConsPlusNormal"/>
            </w:pPr>
            <w:r>
              <w:t>Минприроды России,</w:t>
            </w:r>
          </w:p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CC59A1" w:rsidRDefault="00CC59A1">
      <w:pPr>
        <w:pStyle w:val="ConsPlusNormal"/>
        <w:jc w:val="both"/>
      </w:pPr>
    </w:p>
    <w:p w:rsidR="00CC59A1" w:rsidRDefault="00CC59A1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sectPr w:rsidR="00CC59A1" w:rsidSect="00EC10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706"/>
        <w:gridCol w:w="1701"/>
        <w:gridCol w:w="1984"/>
        <w:gridCol w:w="2324"/>
      </w:tblGrid>
      <w:tr w:rsidR="00CC59A1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59A1" w:rsidRDefault="00CC59A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59A1" w:rsidRDefault="00CC59A1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72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2022 г.</w:t>
            </w:r>
          </w:p>
          <w:p w:rsidR="00CC59A1" w:rsidRDefault="00CC59A1">
            <w:pPr>
              <w:pStyle w:val="ConsPlusNormal"/>
              <w:jc w:val="center"/>
            </w:pPr>
            <w:r>
              <w:t>31 декабря 2022 г.</w:t>
            </w:r>
          </w:p>
          <w:p w:rsidR="00CC59A1" w:rsidRDefault="00CC59A1">
            <w:pPr>
              <w:pStyle w:val="ConsPlusNormal"/>
              <w:jc w:val="center"/>
            </w:pPr>
            <w:r>
              <w:t>31 декабря 2023 г.</w:t>
            </w:r>
          </w:p>
          <w:p w:rsidR="00CC59A1" w:rsidRDefault="00CC59A1">
            <w:pPr>
              <w:pStyle w:val="ConsPlusNormal"/>
              <w:jc w:val="center"/>
            </w:pPr>
            <w:r>
              <w:t>31 декабря 2024 г.</w:t>
            </w:r>
          </w:p>
          <w:p w:rsidR="00CC59A1" w:rsidRDefault="00CC59A1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Минздрав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Утверждение плана мероприятий ("дорожной карты") развития организованной (биржевой) торговли на 2022 - 2025 годы с включением в </w:t>
            </w:r>
            <w:r>
              <w:lastRenderedPageBreak/>
              <w:t>него мероприятий, в том числе:</w:t>
            </w:r>
          </w:p>
          <w:p w:rsidR="00CC59A1" w:rsidRDefault="00CC59A1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CC59A1" w:rsidRDefault="00CC59A1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CC59A1" w:rsidRDefault="00CC59A1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CC59A1" w:rsidRDefault="00CC59A1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CC59A1" w:rsidRDefault="00CC59A1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CC59A1" w:rsidRDefault="00CC59A1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CC59A1" w:rsidRDefault="00CC59A1">
            <w:pPr>
              <w:pStyle w:val="ConsPlusNormal"/>
            </w:pPr>
            <w:r>
              <w:t>по привлечению на уровне субъектов Российской Федерации к организованным торгам мелким оптом всех производителей, функционирующих в каждом из субъектов Российской Федерации;</w:t>
            </w:r>
          </w:p>
          <w:p w:rsidR="00CC59A1" w:rsidRDefault="00CC59A1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России,</w:t>
            </w:r>
          </w:p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lastRenderedPageBreak/>
              <w:t>ФНС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 и</w:t>
            </w:r>
          </w:p>
          <w:p w:rsidR="00CC59A1" w:rsidRDefault="00CC59A1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CC59A1" w:rsidRDefault="00CC59A1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CC59A1" w:rsidRDefault="00CC59A1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CC59A1" w:rsidRDefault="00CC59A1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CC59A1" w:rsidRDefault="00CC59A1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экосистем;</w:t>
            </w:r>
          </w:p>
          <w:p w:rsidR="00CC59A1" w:rsidRDefault="00CC59A1">
            <w:pPr>
              <w:pStyle w:val="ConsPlusNormal"/>
            </w:pPr>
            <w: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Минфин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Утверждение по согласованию с Российской академией наук плана мероприятий ("дорожной карты") развития конкуренции в сфере науки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Минфин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Минюст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России,</w:t>
            </w:r>
          </w:p>
          <w:p w:rsidR="00CC59A1" w:rsidRDefault="00CC59A1">
            <w:pPr>
              <w:pStyle w:val="ConsPlusNormal"/>
            </w:pPr>
            <w:r>
              <w:t>Минприроды России,</w:t>
            </w:r>
          </w:p>
          <w:p w:rsidR="00CC59A1" w:rsidRDefault="00CC59A1">
            <w:pPr>
              <w:pStyle w:val="ConsPlusNormal"/>
            </w:pPr>
            <w:r>
              <w:t>Казначейство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CC59A1" w:rsidRDefault="00CC59A1">
            <w:pPr>
              <w:pStyle w:val="ConsPlusNormal"/>
            </w:pPr>
            <w:r>
              <w:t>Минсельхоз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Разработка комплекса мер, направленных на 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Минприроды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Минприроды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both"/>
            </w:pPr>
            <w:r>
              <w:t xml:space="preserve">Исключен. - </w:t>
            </w:r>
            <w:hyperlink r:id="rId2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13.07.2022 N 1905-р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Обеспечение функционирования в информационно-телекоммуникационной сети "Интернет" базового информационного портала </w:t>
            </w:r>
            <w:r>
              <w:lastRenderedPageBreak/>
              <w:t>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Обеспечение создания единой государственной системы учета государственных и муниципальных преференций, предоставляемых в соответствии с Федеральным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"О защите конкуренции", обеспечивающей оценку их эффективности, ведение единого реестра государственных и муниципальных преференций, оказываемых хозяйствующим субъектам, в том числе субъектам малого и среднего предпринимательства,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Обеспечение внедрения автоматизированной </w:t>
            </w:r>
            <w:r>
              <w:lastRenderedPageBreak/>
              <w:t xml:space="preserve">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23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Обеспечение реализации мероприятий, </w:t>
            </w:r>
            <w:r>
              <w:lastRenderedPageBreak/>
              <w:t>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lastRenderedPageBreak/>
              <w:t>Минэкономразвития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Минэнерго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Определение порядка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закон,</w:t>
            </w:r>
          </w:p>
          <w:p w:rsidR="00CC59A1" w:rsidRDefault="00CC59A1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г.,</w:t>
            </w:r>
          </w:p>
          <w:p w:rsidR="00CC59A1" w:rsidRDefault="00CC59A1">
            <w:pPr>
              <w:pStyle w:val="ConsPlusNormal"/>
              <w:jc w:val="center"/>
            </w:pPr>
            <w:r>
              <w:t>6 месяцев с момента вступления в силу федерального закона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Минобороны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Обеспечение правового регулирования, предусматривающего унификацию и систематизацию государственных и муниципальных преференций, предоставляемых путем передачи </w:t>
            </w:r>
            <w:r>
              <w:lastRenderedPageBreak/>
              <w:t>государственного или муниципального имущества, иных 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Обеспечение внесения изменений в </w:t>
            </w:r>
            <w:hyperlink r:id="rId24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2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введения ограничений на совершение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Минфин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банковских гарантий в зависимости от присвоенного уровня кредитного рейтинга по национальной рейтинговой шкале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Установление исключительно заявительного </w:t>
            </w:r>
            <w:r>
              <w:lastRenderedPageBreak/>
              <w:t>порядка участия финансовых организаций в программах субсидирования из средств 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 Федерации максимальных квот на одну финансовую организацию - участника программы субсидирования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 xml:space="preserve">федеральный </w:t>
            </w:r>
            <w:r>
              <w:lastRenderedPageBreak/>
              <w:t>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lastRenderedPageBreak/>
              <w:t>ФАС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Введение ограничений на осуществление финансовыми организациями (их группами лиц), активы (суммарные активы финансовых организаций, входящих в одну группу лиц) которых превышают величину, установленную Правительством Российской Федерации по согласованию с Банком России, сделок экономической концентрации в отношении нефинансовых организаций, в том числе путем установления возможности определения Правительством Российской Федерации по согласованию с Банком России допустимого срока владения акциями (долями), активами таких нефинансовых организаций,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Минфин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</w:t>
            </w:r>
            <w:r>
              <w:lastRenderedPageBreak/>
              <w:t>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России,</w:t>
            </w:r>
          </w:p>
          <w:p w:rsidR="00CC59A1" w:rsidRDefault="00CC59A1">
            <w:pPr>
              <w:pStyle w:val="ConsPlusNormal"/>
            </w:pPr>
            <w:r>
              <w:t>Казначейство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r>
              <w:t>Минздрав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 от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Установление квоты в размере 20 процентов </w:t>
            </w:r>
            <w:r>
              <w:lastRenderedPageBreak/>
              <w:t>для малого бизнеса в конкурсах на установку и размещение рекламных конструкций (наружной рекламы)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 xml:space="preserve">федеральный </w:t>
            </w:r>
            <w:r>
              <w:lastRenderedPageBreak/>
              <w:t>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lastRenderedPageBreak/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ФСБ России,</w:t>
            </w:r>
          </w:p>
          <w:p w:rsidR="00CC59A1" w:rsidRDefault="00CC59A1">
            <w:pPr>
              <w:pStyle w:val="ConsPlusNormal"/>
            </w:pPr>
            <w:r>
              <w:t>ФСТЭК России,</w:t>
            </w:r>
          </w:p>
          <w:p w:rsidR="00CC59A1" w:rsidRDefault="00CC59A1">
            <w:pPr>
              <w:pStyle w:val="ConsPlusNormal"/>
            </w:pPr>
            <w:r>
              <w:t>Минфин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Определение состава федерального имущества, не соответствующего требованиям отнесения к категории имущества, предназначенного для осуществления </w:t>
            </w:r>
            <w:r>
              <w:lastRenderedPageBreak/>
              <w:t>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России,</w:t>
            </w:r>
          </w:p>
          <w:p w:rsidR="00CC59A1" w:rsidRDefault="00CC59A1">
            <w:pPr>
              <w:pStyle w:val="ConsPlusNormal"/>
            </w:pPr>
            <w:r>
              <w:t>Минфин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 xml:space="preserve"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</w:t>
            </w:r>
            <w:r>
              <w:lastRenderedPageBreak/>
              <w:t>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Минфин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  <w:p w:rsidR="00CC59A1" w:rsidRDefault="00CC59A1">
            <w:pPr>
              <w:pStyle w:val="ConsPlusNormal"/>
            </w:pPr>
            <w:r>
              <w:t>при участии Банка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CC59A1" w:rsidRDefault="00CC59A1">
            <w:pPr>
              <w:pStyle w:val="ConsPlusNormal"/>
            </w:pPr>
            <w:r>
              <w:t>ФАС России,</w:t>
            </w:r>
          </w:p>
          <w:p w:rsidR="00CC59A1" w:rsidRDefault="00CC59A1">
            <w:pPr>
              <w:pStyle w:val="ConsPlusNormal"/>
            </w:pPr>
            <w:r>
              <w:t>Минэкономразвития России</w:t>
            </w:r>
          </w:p>
        </w:tc>
      </w:tr>
      <w:tr w:rsidR="00CC59A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A1" w:rsidRDefault="00CC59A1">
            <w:pPr>
              <w:pStyle w:val="ConsPlusNormal"/>
            </w:pPr>
            <w:r>
              <w:t>Минстрой России,</w:t>
            </w:r>
          </w:p>
          <w:p w:rsidR="00CC59A1" w:rsidRDefault="00CC59A1">
            <w:pPr>
              <w:pStyle w:val="ConsPlusNormal"/>
            </w:pPr>
            <w:r>
              <w:t>ФАС России</w:t>
            </w:r>
          </w:p>
        </w:tc>
      </w:tr>
    </w:tbl>
    <w:p w:rsidR="00CC59A1" w:rsidRDefault="00CC59A1">
      <w:pPr>
        <w:pStyle w:val="ConsPlusNormal"/>
        <w:sectPr w:rsidR="00CC59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ind w:firstLine="540"/>
        <w:jc w:val="both"/>
      </w:pPr>
      <w:r>
        <w:t>--------------------------------</w:t>
      </w:r>
    </w:p>
    <w:p w:rsidR="00CC59A1" w:rsidRDefault="00CC59A1">
      <w:pPr>
        <w:pStyle w:val="ConsPlusNormal"/>
        <w:spacing w:before="200"/>
        <w:ind w:firstLine="540"/>
        <w:jc w:val="both"/>
      </w:pPr>
      <w:bookmarkStart w:id="4" w:name="P727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jc w:val="both"/>
      </w:pPr>
    </w:p>
    <w:p w:rsidR="00CC59A1" w:rsidRDefault="00CC59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77F" w:rsidRDefault="00EB177F"/>
    <w:sectPr w:rsidR="00EB177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1"/>
    <w:rsid w:val="00CC59A1"/>
    <w:rsid w:val="00E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57E7"/>
  <w15:chartTrackingRefBased/>
  <w15:docId w15:val="{EECBAC78-477F-4F90-8288-D9DFE915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9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C59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59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C59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59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C5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5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59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64317269616AA21ADCC41CAF9A7DEF4CD2972E16DF145F78A1B6EE83FE5CF7B272B3FAB693DB09A94D8E4FDT4dAG" TargetMode="External"/><Relationship Id="rId13" Type="http://schemas.openxmlformats.org/officeDocument/2006/relationships/hyperlink" Target="consultantplus://offline/ref=1CB64317269616AA21ADCC41CAF9A7DEF7CD2471ED68F145F78A1B6EE83FE5CF69277333A86922B993818EB5BB1D7D05521062EC058DF6C0T3d5G" TargetMode="External"/><Relationship Id="rId18" Type="http://schemas.openxmlformats.org/officeDocument/2006/relationships/hyperlink" Target="consultantplus://offline/ref=1CB64317269616AA21ADCC41CAF9A7DEF2C42875EF6FF145F78A1B6EE83FE5CF7B272B3FAB693DB09A94D8E4FDT4dA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B64317269616AA21ADCC41CAF9A7DEF2C72D7CEF68F145F78A1B6EE83FE5CF69277333A86923B091818EB5BB1D7D05521062EC058DF6C0T3d5G" TargetMode="External"/><Relationship Id="rId7" Type="http://schemas.openxmlformats.org/officeDocument/2006/relationships/hyperlink" Target="consultantplus://offline/ref=1CB64317269616AA21ADCC41CAF9A7DEF4CD2972E16DF145F78A1B6EE83FE5CF7B272B3FAB693DB09A94D8E4FDT4dAG" TargetMode="External"/><Relationship Id="rId12" Type="http://schemas.openxmlformats.org/officeDocument/2006/relationships/hyperlink" Target="consultantplus://offline/ref=1CB64317269616AA21ADCC41CAF9A7DEF7C52476EE69F145F78A1B6EE83FE5CF69277333A86923B19A818EB5BB1D7D05521062EC058DF6C0T3d5G" TargetMode="External"/><Relationship Id="rId17" Type="http://schemas.openxmlformats.org/officeDocument/2006/relationships/hyperlink" Target="consultantplus://offline/ref=1CB64317269616AA21ADCC41CAF9A7DEF4CD2972E16DF145F78A1B6EE83FE5CF7B272B3FAB693DB09A94D8E4FDT4dAG" TargetMode="External"/><Relationship Id="rId25" Type="http://schemas.openxmlformats.org/officeDocument/2006/relationships/hyperlink" Target="consultantplus://offline/ref=1CB64317269616AA21ADCC41CAF9A7DEF2C42576EF6CF145F78A1B6EE83FE5CF7B272B3FAB693DB09A94D8E4FDT4d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B64317269616AA21ADCC41CAF9A7DEF5C12D72EF6CF145F78A1B6EE83FE5CF7B272B3FAB693DB09A94D8E4FDT4dAG" TargetMode="External"/><Relationship Id="rId20" Type="http://schemas.openxmlformats.org/officeDocument/2006/relationships/hyperlink" Target="consultantplus://offline/ref=1CB64317269616AA21ADCC41CAF9A7DEF2C52E77E86EF145F78A1B6EE83FE5CF69277333A86923B196818EB5BB1D7D05521062EC058DF6C0T3d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64317269616AA21ADCC41CAF9A7DEF5C02B7CEA6CF145F78A1B6EE83FE5CF69277333A86923B095818EB5BB1D7D05521062EC058DF6C0T3d5G" TargetMode="External"/><Relationship Id="rId11" Type="http://schemas.openxmlformats.org/officeDocument/2006/relationships/hyperlink" Target="consultantplus://offline/ref=1CB64317269616AA21ADCC41CAF9A7DEF7C32873E960AC4FFFD3176CEF30BAD86E6E7F32A86921B099DE8BA0AA4573064C0E6AFA198FF4TCd0G" TargetMode="External"/><Relationship Id="rId24" Type="http://schemas.openxmlformats.org/officeDocument/2006/relationships/hyperlink" Target="consultantplus://offline/ref=1CB64317269616AA21ADCC41CAF9A7DEF2C52874E16AF145F78A1B6EE83FE5CF7B272B3FAB693DB09A94D8E4FDT4dAG" TargetMode="External"/><Relationship Id="rId5" Type="http://schemas.openxmlformats.org/officeDocument/2006/relationships/hyperlink" Target="consultantplus://offline/ref=1CB64317269616AA21ADCC41CAF9A7DEF2C72D7CEF68F145F78A1B6EE83FE5CF69277333A86923B091818EB5BB1D7D05521062EC058DF6C0T3d5G" TargetMode="External"/><Relationship Id="rId15" Type="http://schemas.openxmlformats.org/officeDocument/2006/relationships/hyperlink" Target="consultantplus://offline/ref=1CB64317269616AA21ADCC41CAF9A7DEF5C32F7DE16CF145F78A1B6EE83FE5CF69277333A86923B196818EB5BB1D7D05521062EC058DF6C0T3d5G" TargetMode="External"/><Relationship Id="rId23" Type="http://schemas.openxmlformats.org/officeDocument/2006/relationships/hyperlink" Target="consultantplus://offline/ref=1CB64317269616AA21ADCC41CAF9A7DEF2C42973EF6BF145F78A1B6EE83FE5CF69277333A86C26B79B818EB5BB1D7D05521062EC058DF6C0T3d5G" TargetMode="External"/><Relationship Id="rId10" Type="http://schemas.openxmlformats.org/officeDocument/2006/relationships/hyperlink" Target="consultantplus://offline/ref=1CB64317269616AA21ADCC41CAF9A7DEF5C72F74E869F145F78A1B6EE83FE5CF69277333A86923B195818EB5BB1D7D05521062EC058DF6C0T3d5G" TargetMode="External"/><Relationship Id="rId19" Type="http://schemas.openxmlformats.org/officeDocument/2006/relationships/hyperlink" Target="consultantplus://offline/ref=1CB64317269616AA21ADCC41CAF9A7DEF2C42875EF6EF145F78A1B6EE83FE5CF7B272B3FAB693DB09A94D8E4FDT4dAG" TargetMode="External"/><Relationship Id="rId4" Type="http://schemas.openxmlformats.org/officeDocument/2006/relationships/hyperlink" Target="consultantplus://offline/ref=1CB64317269616AA21ADCC41CAF9A7DEF2C72D7CEF68F145F78A1B6EE83FE5CF69277333A86923B091818EB5BB1D7D05521062EC058DF6C0T3d5G" TargetMode="External"/><Relationship Id="rId9" Type="http://schemas.openxmlformats.org/officeDocument/2006/relationships/hyperlink" Target="consultantplus://offline/ref=1CB64317269616AA21ADCC41CAF9A7DEF4CD2972E16DF145F78A1B6EE83FE5CF7B272B3FAB693DB09A94D8E4FDT4dAG" TargetMode="External"/><Relationship Id="rId14" Type="http://schemas.openxmlformats.org/officeDocument/2006/relationships/hyperlink" Target="consultantplus://offline/ref=1CB64317269616AA21ADCC41CAF9A7DEF4CD2972E16DF145F78A1B6EE83FE5CF7B272B3FAB693DB09A94D8E4FDT4dAG" TargetMode="External"/><Relationship Id="rId22" Type="http://schemas.openxmlformats.org/officeDocument/2006/relationships/hyperlink" Target="consultantplus://offline/ref=1CB64317269616AA21ADCC41CAF9A7DEF2C42577E963F145F78A1B6EE83FE5CF7B272B3FAB693DB09A94D8E4FDT4dA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8965</Words>
  <Characters>51107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Титаева</dc:creator>
  <cp:keywords/>
  <dc:description/>
  <cp:lastModifiedBy>Екатерина Владимировна Титаева</cp:lastModifiedBy>
  <cp:revision>1</cp:revision>
  <dcterms:created xsi:type="dcterms:W3CDTF">2022-08-30T06:29:00Z</dcterms:created>
  <dcterms:modified xsi:type="dcterms:W3CDTF">2022-08-30T06:29:00Z</dcterms:modified>
</cp:coreProperties>
</file>